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78441"/>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96476"/>
      <w:bookmarkStart w:id="8" w:name="_Toc15377426"/>
      <w:bookmarkStart w:id="9" w:name="_Toc15377194"/>
      <w:bookmarkStart w:id="10" w:name="_Toc15378442"/>
      <w:bookmarkStart w:id="11" w:name="_Toc15306268"/>
      <w:r>
        <w:rPr>
          <w:rFonts w:hint="eastAsia" w:ascii="方正小标宋简体" w:hAnsi="方正小标宋简体" w:eastAsia="方正小标宋简体" w:cs="方正小标宋简体"/>
          <w:sz w:val="72"/>
          <w:szCs w:val="72"/>
          <w:lang w:val="en-US" w:eastAsia="zh-CN"/>
        </w:rPr>
        <w:t>乐山市奥林匹克学校</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val="en-US" w:eastAsia="zh-CN"/>
        </w:rPr>
        <w:t>公开</w:t>
      </w:r>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rPr>
          <w:rFonts w:hint="default" w:eastAsia="仿宋"/>
          <w:lang w:val="en-US" w:eastAsia="zh-CN"/>
        </w:rPr>
      </w:pPr>
      <w:r>
        <w:rPr>
          <w:rFonts w:hint="eastAsia"/>
        </w:rPr>
        <w:t>公开时间：2022年</w:t>
      </w:r>
      <w:r>
        <w:rPr>
          <w:rFonts w:hint="eastAsia"/>
          <w:lang w:val="en-US" w:eastAsia="zh-CN"/>
        </w:rPr>
        <w:t>9</w:t>
      </w:r>
      <w:r>
        <w:rPr>
          <w:rFonts w:hint="eastAsia"/>
        </w:rPr>
        <w:t>月</w:t>
      </w:r>
      <w:r>
        <w:rPr>
          <w:rFonts w:hint="eastAsia"/>
          <w:lang w:val="en-US" w:eastAsia="zh-CN"/>
        </w:rPr>
        <w:t>29日</w:t>
      </w:r>
      <w:bookmarkStart w:id="71" w:name="_GoBack"/>
      <w:bookmarkEnd w:id="71"/>
    </w:p>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eastAsia="zh-CN"/>
        </w:rPr>
        <w:t>……………………………………………………</w:t>
      </w:r>
      <w:r>
        <w:rPr>
          <w:rFonts w:hint="eastAsia"/>
          <w:sz w:val="24"/>
          <w:lang w:val="en-US" w:eastAsia="zh-CN"/>
        </w:rPr>
        <w:t>4</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eastAsia="zh-CN"/>
        </w:rPr>
        <w:t>…………………………………………</w:t>
      </w:r>
      <w:r>
        <w:rPr>
          <w:rFonts w:hint="eastAsia"/>
          <w:sz w:val="24"/>
          <w:lang w:val="en-US" w:eastAsia="zh-CN"/>
        </w:rPr>
        <w:t>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eastAsia="zh-CN"/>
        </w:rPr>
        <w:t>………………………………………………………</w:t>
      </w:r>
      <w:r>
        <w:rPr>
          <w:rFonts w:hint="eastAsia"/>
          <w:sz w:val="24"/>
          <w:lang w:val="en-US" w:eastAsia="zh-CN"/>
        </w:rPr>
        <w:t>4</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 2021年度部门决算情况说明</w:t>
      </w:r>
      <w:r>
        <w:rPr>
          <w:rFonts w:hint="eastAsia"/>
          <w:sz w:val="24"/>
          <w:lang w:eastAsia="zh-CN"/>
        </w:rPr>
        <w:t>………………………………</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eastAsia="zh-CN"/>
        </w:rPr>
        <w:t>…………………………………</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eastAsia="zh-CN"/>
        </w:rPr>
        <w:t>……………………………………………</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eastAsia="zh-CN"/>
        </w:rPr>
        <w:t>……………………………………………</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eastAsia="zh-CN"/>
        </w:rPr>
        <w:t>………………………</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eastAsia="zh-CN"/>
        </w:rPr>
        <w:t>…………………</w:t>
      </w:r>
      <w:r>
        <w:rPr>
          <w:rFonts w:hint="eastAsia"/>
          <w:sz w:val="24"/>
          <w:lang w:val="en-US" w:eastAsia="zh-CN"/>
        </w:rPr>
        <w:t>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eastAsia="zh-CN"/>
        </w:rPr>
        <w:t>……………</w:t>
      </w:r>
      <w:r>
        <w:rPr>
          <w:rFonts w:hint="eastAsia"/>
          <w:sz w:val="24"/>
          <w:lang w:val="en-US" w:eastAsia="zh-CN"/>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七、“三公”经费财政拨款支出决算情况说明</w:t>
      </w:r>
      <w:r>
        <w:rPr>
          <w:rFonts w:hint="eastAsia"/>
          <w:sz w:val="24"/>
          <w:lang w:eastAsia="zh-CN"/>
        </w:rPr>
        <w:t>……………………</w:t>
      </w:r>
      <w:r>
        <w:rPr>
          <w:rFonts w:hint="eastAsia"/>
          <w:sz w:val="24"/>
          <w:lang w:val="en-US" w:eastAsia="zh-CN"/>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eastAsia="zh-CN"/>
        </w:rPr>
        <w:t>…………………………</w:t>
      </w:r>
      <w:r>
        <w:rPr>
          <w:rFonts w:hint="eastAsia"/>
          <w:sz w:val="24"/>
          <w:lang w:val="en-US" w:eastAsia="zh-CN"/>
        </w:rPr>
        <w:t>10</w:t>
      </w:r>
    </w:p>
    <w:p>
      <w:pPr>
        <w:pStyle w:val="11"/>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10</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eastAsia="zh-CN"/>
        </w:rPr>
      </w:pPr>
      <w:r>
        <w:rPr>
          <w:rStyle w:val="15"/>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11</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eastAsia="zh-CN"/>
        </w:rPr>
        <w:t>……………………………………………………</w:t>
      </w:r>
      <w:r>
        <w:rPr>
          <w:rFonts w:hint="eastAsia"/>
          <w:sz w:val="24"/>
          <w:lang w:val="en-US" w:eastAsia="zh-CN"/>
        </w:rPr>
        <w:t>12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eastAsia="zh-CN"/>
        </w:rPr>
        <w:t>…………………………………………………………</w:t>
      </w:r>
      <w:r>
        <w:rPr>
          <w:rFonts w:hint="eastAsia"/>
          <w:sz w:val="24"/>
          <w:lang w:val="en-US" w:eastAsia="zh-CN"/>
        </w:rPr>
        <w:t>14</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eastAsia="zh-CN"/>
        </w:rPr>
        <w:t>…………………………………………………………</w:t>
      </w:r>
      <w:r>
        <w:rPr>
          <w:rFonts w:hint="eastAsia"/>
          <w:sz w:val="24"/>
          <w:lang w:val="en-US" w:eastAsia="zh-CN"/>
        </w:rPr>
        <w:t>16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rPr>
          <w:rFonts w:hint="eastAsia"/>
          <w:sz w:val="24"/>
          <w:lang w:eastAsia="zh-CN"/>
        </w:rPr>
        <w:t>……………………………………………</w:t>
      </w:r>
      <w:r>
        <w:rPr>
          <w:rFonts w:hint="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二、收入决算表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三、支出决算表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四、财政拨款收入支出决算总表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五、财政拨款支出决算明细表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六、一般公共预算财政拨款支出决算表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七、一般公共预算财政拨款支出决算明细表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八、一般公共预算财政拨款基本支出决算表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九、一般公共预算财政拨款项目支出决算表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十、一般公共预算财政拨款“三公”经费支出决算表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十一、政府性基金预算财政拨款收入支出决算表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十二、政府性基金预算财政拨款“三公”经费支出决算表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十三、国有资本经营预算财政拨款收入支出决算表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pStyle w:val="11"/>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十四、国有资本经营预算财政拨款支出决算表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16</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25"/>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5"/>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p>
    <w:p>
      <w:pPr>
        <w:snapToGrid w:val="0"/>
        <w:spacing w:line="520" w:lineRule="exact"/>
        <w:ind w:firstLine="640" w:firstLineChars="200"/>
        <w:jc w:val="left"/>
        <w:rPr>
          <w:rFonts w:hint="eastAsia" w:ascii="仿宋_GB2312" w:hAnsi="仿宋" w:eastAsia="仿宋_GB2312"/>
          <w:sz w:val="32"/>
          <w:szCs w:val="32"/>
        </w:rPr>
      </w:pPr>
      <w:r>
        <w:rPr>
          <w:rFonts w:hint="eastAsia" w:ascii="仿宋" w:hAnsi="仿宋" w:eastAsia="仿宋"/>
          <w:bCs/>
          <w:color w:val="000000"/>
          <w:sz w:val="32"/>
          <w:szCs w:val="32"/>
        </w:rPr>
        <w:t>主要职能。</w:t>
      </w:r>
      <w:r>
        <w:rPr>
          <w:rFonts w:hint="eastAsia" w:ascii="仿宋_GB2312" w:hAnsi="仿宋" w:eastAsia="仿宋_GB2312" w:cs="Times New Roman"/>
          <w:sz w:val="32"/>
          <w:szCs w:val="32"/>
          <w:lang w:val="en-US" w:eastAsia="zh-CN"/>
        </w:rPr>
        <w:t>乐山市奥林匹克学校</w:t>
      </w:r>
      <w:r>
        <w:rPr>
          <w:rFonts w:hint="eastAsia" w:ascii="仿宋_GB2312" w:hAnsi="仿宋" w:eastAsia="仿宋_GB2312"/>
          <w:sz w:val="32"/>
          <w:szCs w:val="32"/>
        </w:rPr>
        <w:t>主要职能</w:t>
      </w:r>
      <w:r>
        <w:rPr>
          <w:rFonts w:hint="eastAsia" w:ascii="仿宋_GB2312" w:hAnsi="仿宋" w:eastAsia="仿宋_GB2312" w:cs="Times New Roman"/>
          <w:sz w:val="32"/>
          <w:szCs w:val="32"/>
          <w:lang w:val="en-US" w:eastAsia="zh-CN"/>
        </w:rPr>
        <w:t>是全面贯彻党的体育教育方针，培养和输送高水平体育后备人才和社会体育人才，承担乐山市组队参加省运会和全国单项比赛任务</w:t>
      </w:r>
      <w:r>
        <w:rPr>
          <w:rFonts w:hint="eastAsia" w:ascii="仿宋_GB2312" w:hAnsi="仿宋" w:eastAsia="仿宋_GB2312"/>
          <w:sz w:val="32"/>
          <w:szCs w:val="32"/>
        </w:rPr>
        <w:t>。</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完成了省十四运会各运动队组队及备战训练任务；代表乐山队参加了省十四运会各项目资格赛暨省青少年锦标赛参赛取得优异成绩；完成了2021年基础教育教学工作；学校整体搬迁至乐山职业技术学院新校区</w:t>
      </w:r>
      <w:r>
        <w:rPr>
          <w:rFonts w:hint="eastAsia" w:ascii="仿宋_GB2312" w:hAnsi="仿宋" w:eastAsia="仿宋_GB2312"/>
          <w:sz w:val="32"/>
          <w:szCs w:val="32"/>
        </w:rPr>
        <w:t>。</w:t>
      </w:r>
    </w:p>
    <w:bookmarkEnd w:id="16"/>
    <w:bookmarkEnd w:id="17"/>
    <w:p>
      <w:pPr>
        <w:pStyle w:val="4"/>
        <w:rPr>
          <w:rStyle w:val="25"/>
          <w:b w:val="0"/>
          <w:bCs w:val="0"/>
        </w:rPr>
      </w:pPr>
      <w:bookmarkStart w:id="18" w:name="_Toc15377200"/>
      <w:bookmarkStart w:id="19" w:name="_Toc15396601"/>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18"/>
      <w:bookmarkEnd w:id="19"/>
    </w:p>
    <w:p>
      <w:pPr>
        <w:snapToGrid w:val="0"/>
        <w:spacing w:line="520" w:lineRule="exact"/>
        <w:ind w:firstLine="640" w:firstLineChars="200"/>
        <w:rPr>
          <w:rFonts w:ascii="仿宋" w:hAnsi="仿宋" w:eastAsia="仿宋"/>
          <w:color w:val="000000"/>
          <w:kern w:val="0"/>
          <w:sz w:val="32"/>
          <w:szCs w:val="32"/>
        </w:rPr>
      </w:pPr>
      <w:r>
        <w:rPr>
          <w:rFonts w:hint="eastAsia" w:ascii="仿宋_GB2312" w:hAnsi="仿宋" w:eastAsia="仿宋_GB2312"/>
          <w:sz w:val="32"/>
          <w:szCs w:val="32"/>
          <w:lang w:val="en-US" w:eastAsia="zh-CN"/>
        </w:rPr>
        <w:t>乐山市奥林匹克学校系全额拨款一级预算事业单位，隶属于乐山职业技术学院。</w:t>
      </w:r>
      <w:r>
        <w:rPr>
          <w:rFonts w:hint="eastAsia" w:ascii="仿宋_GB2312" w:hAnsi="仿宋" w:eastAsia="仿宋_GB2312"/>
          <w:sz w:val="32"/>
          <w:szCs w:val="32"/>
          <w:lang w:val="zh-CN" w:eastAsia="zh-CN"/>
        </w:rPr>
        <w:t>学校总编制48个，其中：行政编制 4个，工勤编制3个，事业编制（含参公管理事业编制）41个。在职人员总数41人，其中：行政</w:t>
      </w:r>
      <w:r>
        <w:rPr>
          <w:rFonts w:hint="eastAsia" w:ascii="仿宋_GB2312" w:hAnsi="仿宋" w:eastAsia="仿宋_GB2312"/>
          <w:sz w:val="32"/>
          <w:szCs w:val="32"/>
          <w:lang w:val="en-US" w:eastAsia="zh-CN"/>
        </w:rPr>
        <w:t>2</w:t>
      </w:r>
      <w:r>
        <w:rPr>
          <w:rFonts w:hint="eastAsia" w:ascii="仿宋_GB2312" w:hAnsi="仿宋" w:eastAsia="仿宋_GB2312"/>
          <w:sz w:val="32"/>
          <w:szCs w:val="32"/>
          <w:lang w:val="zh-CN" w:eastAsia="zh-CN"/>
        </w:rPr>
        <w:t>人，工勤2人，事业（含参公管理事业人员）3</w:t>
      </w:r>
      <w:r>
        <w:rPr>
          <w:rFonts w:hint="eastAsia" w:ascii="仿宋_GB2312" w:hAnsi="仿宋" w:eastAsia="仿宋_GB2312"/>
          <w:sz w:val="32"/>
          <w:szCs w:val="32"/>
          <w:lang w:val="en-US" w:eastAsia="zh-CN"/>
        </w:rPr>
        <w:t>7</w:t>
      </w:r>
      <w:r>
        <w:rPr>
          <w:rFonts w:hint="eastAsia" w:ascii="仿宋_GB2312" w:hAnsi="仿宋" w:eastAsia="仿宋_GB2312"/>
          <w:sz w:val="32"/>
          <w:szCs w:val="32"/>
          <w:lang w:val="zh-CN" w:eastAsia="zh-CN"/>
        </w:rPr>
        <w:t>人。</w:t>
      </w:r>
      <w:r>
        <w:rPr>
          <w:rFonts w:hint="eastAsia" w:ascii="仿宋_GB2312" w:hAnsi="仿宋" w:eastAsia="仿宋_GB2312"/>
          <w:sz w:val="32"/>
          <w:szCs w:val="32"/>
          <w:lang w:val="en-US" w:eastAsia="zh-CN"/>
        </w:rPr>
        <w:t>退休职工30人，</w:t>
      </w:r>
      <w:r>
        <w:rPr>
          <w:rFonts w:hint="eastAsia" w:ascii="仿宋_GB2312" w:hAnsi="仿宋" w:eastAsia="仿宋_GB2312"/>
          <w:sz w:val="32"/>
          <w:szCs w:val="32"/>
          <w:lang w:val="zh-CN" w:eastAsia="zh-CN"/>
        </w:rPr>
        <w:t>离休0人</w:t>
      </w:r>
      <w:r>
        <w:rPr>
          <w:rFonts w:hint="eastAsia" w:ascii="仿宋_GB2312" w:hAnsi="仿宋" w:eastAsia="仿宋_GB2312"/>
          <w:sz w:val="32"/>
          <w:szCs w:val="32"/>
          <w:lang w:val="en-US" w:eastAsia="zh-CN"/>
        </w:rPr>
        <w:t>。</w:t>
      </w:r>
    </w:p>
    <w:p>
      <w:pPr>
        <w:pStyle w:val="3"/>
        <w:ind w:right="440"/>
        <w:jc w:val="center"/>
        <w:rPr>
          <w:rFonts w:hint="eastAsia" w:ascii="黑体" w:hAnsi="黑体" w:eastAsia="黑体"/>
          <w:b w:val="0"/>
        </w:rPr>
      </w:pPr>
      <w:bookmarkStart w:id="20" w:name="_Toc15377204"/>
      <w:bookmarkStart w:id="21" w:name="_Toc15396602"/>
    </w:p>
    <w:p>
      <w:pPr>
        <w:pStyle w:val="3"/>
        <w:ind w:right="440"/>
        <w:jc w:val="center"/>
        <w:rPr>
          <w:rStyle w:val="24"/>
          <w:rFonts w:ascii="黑体" w:hAnsi="黑体" w:eastAsia="黑体"/>
          <w:b w:val="0"/>
          <w:bCs/>
        </w:rPr>
      </w:pPr>
      <w:r>
        <w:rPr>
          <w:rFonts w:hint="eastAsia" w:ascii="黑体" w:hAnsi="黑体" w:eastAsia="黑体"/>
          <w:b w:val="0"/>
        </w:rPr>
        <w:t>第二部分 2021年度</w:t>
      </w:r>
      <w:r>
        <w:rPr>
          <w:rStyle w:val="24"/>
          <w:rFonts w:hint="eastAsia" w:ascii="黑体" w:hAnsi="黑体" w:eastAsia="黑体"/>
          <w:b w:val="0"/>
          <w:bCs/>
        </w:rPr>
        <w:t>部门决算情况说明</w:t>
      </w:r>
      <w:bookmarkEnd w:id="20"/>
      <w:bookmarkEnd w:id="21"/>
    </w:p>
    <w:p/>
    <w:p>
      <w:pPr>
        <w:pStyle w:val="23"/>
        <w:numPr>
          <w:ilvl w:val="0"/>
          <w:numId w:val="1"/>
        </w:numPr>
        <w:spacing w:line="600" w:lineRule="exact"/>
        <w:ind w:firstLineChars="0"/>
        <w:outlineLvl w:val="1"/>
        <w:rPr>
          <w:rStyle w:val="25"/>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1786.4</w:t>
      </w:r>
      <w:r>
        <w:rPr>
          <w:rFonts w:hint="eastAsia" w:ascii="仿宋" w:hAnsi="仿宋" w:eastAsia="仿宋"/>
          <w:sz w:val="32"/>
          <w:szCs w:val="32"/>
        </w:rPr>
        <w:t>万元。与2020年相比，收、支总计各</w:t>
      </w:r>
      <w:r>
        <w:rPr>
          <w:rFonts w:hint="eastAsia" w:ascii="仿宋" w:hAnsi="仿宋" w:eastAsia="仿宋"/>
          <w:sz w:val="32"/>
          <w:szCs w:val="32"/>
          <w:lang w:val="en-US" w:eastAsia="zh-CN"/>
        </w:rPr>
        <w:t>增加683.39</w:t>
      </w:r>
      <w:r>
        <w:rPr>
          <w:rFonts w:hint="eastAsia" w:ascii="仿宋" w:hAnsi="仿宋" w:eastAsia="仿宋"/>
          <w:sz w:val="32"/>
          <w:szCs w:val="32"/>
        </w:rPr>
        <w:t>万元，增长</w:t>
      </w:r>
      <w:r>
        <w:rPr>
          <w:rFonts w:hint="eastAsia" w:ascii="仿宋" w:hAnsi="仿宋" w:eastAsia="仿宋"/>
          <w:sz w:val="32"/>
          <w:szCs w:val="32"/>
          <w:lang w:val="en-US" w:eastAsia="zh-CN"/>
        </w:rPr>
        <w:t>61.96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2022年为省运会比赛年，2021年我校承办了四项省锦标赛，同时备战任务加重，学校新校园建设加强。</w:t>
      </w:r>
    </w:p>
    <w:p>
      <w:pPr>
        <w:spacing w:line="600" w:lineRule="exact"/>
        <w:ind w:firstLine="640" w:firstLineChars="200"/>
        <w:outlineLvl w:val="1"/>
        <w:rPr>
          <w:rFonts w:hint="eastAsia" w:ascii="仿宋" w:hAnsi="仿宋" w:eastAsia="仿宋"/>
          <w:b/>
          <w:sz w:val="32"/>
          <w:szCs w:val="32"/>
        </w:rPr>
      </w:pPr>
      <w:r>
        <w:rPr>
          <w:rFonts w:hint="eastAsia" w:ascii="仿宋" w:hAnsi="仿宋" w:eastAsia="仿宋"/>
          <w:color w:val="000000"/>
          <w:sz w:val="32"/>
          <w:szCs w:val="32"/>
        </w:rPr>
        <w:pict>
          <v:shape id="Object 2" o:spid="_x0000_s1026" o:spt="75" type="#_x0000_t75" style="position:absolute;left:0pt;margin-left:31.25pt;margin-top:9.25pt;height:222.75pt;width:366.75pt;z-index:251659264;mso-width-relative:page;mso-height-relative:page;" o:ole="t" filled="f" o:preferrelative="t" stroked="f" coordsize="21600,21600">
            <v:path/>
            <v:fill on="f" focussize="0,0"/>
            <v:stroke on="f"/>
            <v:imagedata r:id="rId7" o:title=""/>
            <o:lock v:ext="edit" aspectratio="t"/>
          </v:shape>
          <o:OLEObject Type="Embed" ProgID="Excel.Chart.8" ShapeID="Object 2" DrawAspect="Content" ObjectID="_1468075725" r:id="rId6">
            <o:LockedField>false</o:LockedField>
          </o:OLEObject>
        </w:pict>
      </w: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1786.4</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1457.49</w:t>
      </w:r>
      <w:r>
        <w:rPr>
          <w:rFonts w:hint="eastAsia" w:ascii="仿宋" w:hAnsi="仿宋" w:eastAsia="仿宋"/>
          <w:sz w:val="32"/>
          <w:szCs w:val="32"/>
        </w:rPr>
        <w:t>万元，占</w:t>
      </w:r>
      <w:r>
        <w:rPr>
          <w:rFonts w:hint="eastAsia" w:ascii="仿宋" w:hAnsi="仿宋" w:eastAsia="仿宋"/>
          <w:sz w:val="32"/>
          <w:szCs w:val="32"/>
          <w:lang w:val="en-US" w:eastAsia="zh-CN"/>
        </w:rPr>
        <w:t>81.59</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262.87</w:t>
      </w:r>
      <w:r>
        <w:rPr>
          <w:rFonts w:hint="eastAsia" w:ascii="仿宋" w:hAnsi="仿宋" w:eastAsia="仿宋"/>
          <w:sz w:val="32"/>
          <w:szCs w:val="32"/>
        </w:rPr>
        <w:t>万元，占</w:t>
      </w:r>
      <w:r>
        <w:rPr>
          <w:rFonts w:hint="eastAsia" w:ascii="仿宋" w:hAnsi="仿宋" w:eastAsia="仿宋"/>
          <w:sz w:val="32"/>
          <w:szCs w:val="32"/>
          <w:lang w:val="en-US" w:eastAsia="zh-CN"/>
        </w:rPr>
        <w:t>18.41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r>
        <w:rPr>
          <w:rFonts w:hint="eastAsia" w:ascii="仿宋" w:hAnsi="仿宋" w:eastAsia="仿宋"/>
          <w:color w:val="000000"/>
          <w:sz w:val="32"/>
          <w:szCs w:val="32"/>
          <w:lang w:eastAsia="zh-CN"/>
        </w:rPr>
        <w:pict>
          <v:shape id="Object 3" o:spid="_x0000_s1027" o:spt="75" type="#_x0000_t75" style="position:absolute;left:0pt;margin-left:14.15pt;margin-top:-42.2pt;height:222.75pt;width:366.75pt;z-index:251660288;mso-width-relative:page;mso-height-relative:page;" o:ole="t" filled="f" o:preferrelative="t" stroked="f" coordsize="21600,21600">
            <v:path/>
            <v:fill on="f" focussize="0,0"/>
            <v:stroke on="f"/>
            <v:imagedata r:id="rId9" o:title=""/>
            <o:lock v:ext="edit" aspectratio="t"/>
          </v:shape>
          <o:OLEObject Type="Embed" ProgID="Excel.Chart.8" ShapeID="Object 3" DrawAspect="Content" ObjectID="_1468075726" r:id="rId8">
            <o:LockedField>false</o:LockedField>
          </o:OLEObject>
        </w:pict>
      </w:r>
    </w:p>
    <w:p>
      <w:pPr>
        <w:pStyle w:val="2"/>
      </w:pPr>
    </w:p>
    <w:p>
      <w:pPr>
        <w:pStyle w:val="2"/>
      </w:pPr>
    </w:p>
    <w:p>
      <w:pPr>
        <w:pStyle w:val="2"/>
      </w:pPr>
    </w:p>
    <w:p>
      <w:pPr>
        <w:pStyle w:val="2"/>
      </w:pPr>
    </w:p>
    <w:p>
      <w:pPr>
        <w:pStyle w:val="2"/>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5"/>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1744.81</w:t>
      </w:r>
      <w:r>
        <w:rPr>
          <w:rFonts w:hint="eastAsia" w:ascii="仿宋" w:hAnsi="仿宋" w:eastAsia="仿宋"/>
          <w:sz w:val="32"/>
          <w:szCs w:val="32"/>
        </w:rPr>
        <w:t>万元，其中：基本支出</w:t>
      </w:r>
      <w:r>
        <w:rPr>
          <w:rFonts w:hint="eastAsia" w:ascii="仿宋" w:hAnsi="仿宋" w:eastAsia="仿宋"/>
          <w:sz w:val="32"/>
          <w:szCs w:val="32"/>
          <w:lang w:val="en-US" w:eastAsia="zh-CN"/>
        </w:rPr>
        <w:t>712.23</w:t>
      </w:r>
      <w:r>
        <w:rPr>
          <w:rFonts w:hint="eastAsia" w:ascii="仿宋" w:hAnsi="仿宋" w:eastAsia="仿宋"/>
          <w:sz w:val="32"/>
          <w:szCs w:val="32"/>
        </w:rPr>
        <w:t>万元，占</w:t>
      </w:r>
      <w:r>
        <w:rPr>
          <w:rFonts w:hint="eastAsia" w:ascii="仿宋" w:hAnsi="仿宋" w:eastAsia="仿宋"/>
          <w:sz w:val="32"/>
          <w:szCs w:val="32"/>
          <w:lang w:val="en-US" w:eastAsia="zh-CN"/>
        </w:rPr>
        <w:t>40.82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1032.57</w:t>
      </w:r>
      <w:r>
        <w:rPr>
          <w:rFonts w:hint="eastAsia" w:ascii="仿宋" w:hAnsi="仿宋" w:eastAsia="仿宋"/>
          <w:sz w:val="32"/>
          <w:szCs w:val="32"/>
        </w:rPr>
        <w:t>万元，占</w:t>
      </w:r>
      <w:r>
        <w:rPr>
          <w:rFonts w:hint="eastAsia" w:ascii="仿宋" w:hAnsi="仿宋" w:eastAsia="仿宋"/>
          <w:sz w:val="32"/>
          <w:szCs w:val="32"/>
          <w:lang w:val="en-US" w:eastAsia="zh-CN"/>
        </w:rPr>
        <w:t>59.18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color w:val="000000"/>
          <w:sz w:val="32"/>
          <w:szCs w:val="32"/>
          <w:shd w:val="pct10" w:color="auto" w:fill="FFFFFF"/>
          <w:lang w:eastAsia="zh-CN"/>
        </w:rPr>
        <w:pict>
          <v:shape id="Object 4" o:spid="_x0000_s1028" o:spt="75" type="#_x0000_t75" style="position:absolute;left:0pt;margin-left:37pt;margin-top:6.8pt;height:173pt;width:284.85pt;z-index:251661312;mso-width-relative:page;mso-height-relative:page;" o:ole="t" filled="f" o:preferrelative="t" stroked="f" coordsize="21600,21600">
            <v:path/>
            <v:fill on="f" focussize="0,0"/>
            <v:stroke on="f"/>
            <v:imagedata r:id="rId11" o:title=""/>
            <o:lock v:ext="edit" aspectratio="t"/>
          </v:shape>
          <o:OLEObject Type="Embed" ProgID="Excel.Chart.8" ShapeID="Object 4" DrawAspect="Content" ObjectID="_1468075727" r:id="rId10">
            <o:LockedField>false</o:LockedField>
          </o:OLEObject>
        </w:pic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1786.4</w:t>
      </w:r>
      <w:r>
        <w:rPr>
          <w:rFonts w:hint="eastAsia" w:ascii="仿宋" w:hAnsi="仿宋" w:eastAsia="仿宋"/>
          <w:sz w:val="32"/>
          <w:szCs w:val="32"/>
        </w:rPr>
        <w:t>万元。与2020年相比，收、支总计各</w:t>
      </w:r>
      <w:r>
        <w:rPr>
          <w:rFonts w:hint="eastAsia" w:ascii="仿宋" w:hAnsi="仿宋" w:eastAsia="仿宋"/>
          <w:sz w:val="32"/>
          <w:szCs w:val="32"/>
          <w:lang w:val="en-US" w:eastAsia="zh-CN"/>
        </w:rPr>
        <w:t>增加683.39</w:t>
      </w:r>
      <w:r>
        <w:rPr>
          <w:rFonts w:hint="eastAsia" w:ascii="仿宋" w:hAnsi="仿宋" w:eastAsia="仿宋"/>
          <w:sz w:val="32"/>
          <w:szCs w:val="32"/>
        </w:rPr>
        <w:t>万元，增长</w:t>
      </w:r>
      <w:r>
        <w:rPr>
          <w:rFonts w:hint="eastAsia" w:ascii="仿宋" w:hAnsi="仿宋" w:eastAsia="仿宋"/>
          <w:sz w:val="32"/>
          <w:szCs w:val="32"/>
          <w:lang w:val="en-US" w:eastAsia="zh-CN"/>
        </w:rPr>
        <w:t>61.96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2022年为省运会比赛年，2021年我校承办了四项省锦标赛，同时备战任务加重，学校新校园建设加强。</w:t>
      </w:r>
    </w:p>
    <w:p>
      <w:pPr>
        <w:spacing w:line="600" w:lineRule="exact"/>
        <w:rPr>
          <w:rFonts w:ascii="仿宋" w:hAnsi="仿宋" w:eastAsia="仿宋"/>
          <w:sz w:val="32"/>
          <w:szCs w:val="32"/>
        </w:rPr>
      </w:pP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1523.54</w:t>
      </w:r>
      <w:r>
        <w:rPr>
          <w:rFonts w:hint="eastAsia" w:ascii="仿宋" w:hAnsi="仿宋" w:eastAsia="仿宋"/>
          <w:sz w:val="32"/>
          <w:szCs w:val="32"/>
        </w:rPr>
        <w:t>万元，占本年支出合计的</w:t>
      </w:r>
      <w:r>
        <w:rPr>
          <w:rFonts w:hint="eastAsia" w:ascii="仿宋" w:hAnsi="仿宋" w:eastAsia="仿宋"/>
          <w:sz w:val="32"/>
          <w:szCs w:val="32"/>
          <w:lang w:val="en-US" w:eastAsia="zh-CN"/>
        </w:rPr>
        <w:t>87.32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697.81</w:t>
      </w:r>
      <w:r>
        <w:rPr>
          <w:rFonts w:hint="eastAsia" w:ascii="仿宋" w:hAnsi="仿宋" w:eastAsia="仿宋"/>
          <w:sz w:val="32"/>
          <w:szCs w:val="32"/>
        </w:rPr>
        <w:t>万元，增长</w:t>
      </w:r>
      <w:r>
        <w:rPr>
          <w:rFonts w:hint="eastAsia" w:ascii="仿宋" w:hAnsi="仿宋" w:eastAsia="仿宋"/>
          <w:sz w:val="32"/>
          <w:szCs w:val="32"/>
          <w:lang w:val="en-US" w:eastAsia="zh-CN"/>
        </w:rPr>
        <w:t>84.51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2022年为省运会比赛年，2021年我校承办了四项省锦标赛，同时备战任务加重，学校新校园建设加强</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lang w:val="en-US" w:eastAsia="zh-CN"/>
        </w:rPr>
        <w:pict>
          <v:shape id="Object 5" o:spid="_x0000_s1029" o:spt="75" type="#_x0000_t75" style="position:absolute;left:0pt;margin-left:32pt;margin-top:-178.9pt;height:184.45pt;width:303.65pt;z-index:251662336;mso-width-relative:page;mso-height-relative:page;" o:ole="t" filled="f" o:preferrelative="t" stroked="f" coordsize="21600,21600">
            <v:path/>
            <v:fill on="f" focussize="0,0"/>
            <v:stroke on="f"/>
            <v:imagedata r:id="rId13" o:title=""/>
            <o:lock v:ext="edit" aspectratio="t"/>
          </v:shape>
          <o:OLEObject Type="Embed" ProgID="Excel.Chart.8" ShapeID="Object 5" DrawAspect="Content" ObjectID="_1468075728" r:id="rId12">
            <o:LockedField>false</o:LockedField>
          </o:OLEObject>
        </w:pict>
      </w: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1744.81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833.66</w:t>
      </w:r>
      <w:r>
        <w:rPr>
          <w:rFonts w:hint="eastAsia" w:ascii="仿宋" w:hAnsi="仿宋" w:eastAsia="仿宋"/>
          <w:sz w:val="32"/>
          <w:szCs w:val="32"/>
        </w:rPr>
        <w:t>万元，占</w:t>
      </w:r>
      <w:r>
        <w:rPr>
          <w:rFonts w:hint="eastAsia" w:ascii="仿宋" w:hAnsi="仿宋" w:eastAsia="仿宋"/>
          <w:sz w:val="32"/>
          <w:szCs w:val="32"/>
          <w:lang w:val="en-US" w:eastAsia="zh-CN"/>
        </w:rPr>
        <w:t>47.78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451.09</w:t>
      </w:r>
      <w:r>
        <w:rPr>
          <w:rFonts w:hint="eastAsia" w:ascii="仿宋" w:hAnsi="仿宋" w:eastAsia="仿宋"/>
          <w:b/>
          <w:bCs/>
          <w:sz w:val="32"/>
          <w:szCs w:val="32"/>
        </w:rPr>
        <w:t>万元，占</w:t>
      </w:r>
      <w:r>
        <w:rPr>
          <w:rFonts w:hint="eastAsia" w:ascii="仿宋" w:hAnsi="仿宋" w:eastAsia="仿宋"/>
          <w:b/>
          <w:bCs/>
          <w:sz w:val="32"/>
          <w:szCs w:val="32"/>
          <w:lang w:val="en-US" w:eastAsia="zh-CN"/>
        </w:rPr>
        <w:t>25.85</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129.33</w:t>
      </w:r>
      <w:r>
        <w:rPr>
          <w:rFonts w:hint="eastAsia" w:ascii="仿宋" w:hAnsi="仿宋" w:eastAsia="仿宋"/>
          <w:sz w:val="32"/>
          <w:szCs w:val="32"/>
        </w:rPr>
        <w:t>万元，占</w:t>
      </w:r>
      <w:r>
        <w:rPr>
          <w:rFonts w:hint="eastAsia" w:ascii="仿宋" w:hAnsi="仿宋" w:eastAsia="仿宋"/>
          <w:sz w:val="32"/>
          <w:szCs w:val="32"/>
          <w:lang w:val="en-US" w:eastAsia="zh-CN"/>
        </w:rPr>
        <w:t>7.41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19.36</w:t>
      </w:r>
      <w:r>
        <w:rPr>
          <w:rFonts w:hint="eastAsia" w:ascii="仿宋" w:hAnsi="仿宋" w:eastAsia="仿宋"/>
          <w:sz w:val="32"/>
          <w:szCs w:val="32"/>
        </w:rPr>
        <w:t>万元，占</w:t>
      </w:r>
      <w:r>
        <w:rPr>
          <w:rFonts w:hint="eastAsia" w:ascii="仿宋" w:hAnsi="仿宋" w:eastAsia="仿宋"/>
          <w:sz w:val="32"/>
          <w:szCs w:val="32"/>
          <w:lang w:val="en-US" w:eastAsia="zh-CN"/>
        </w:rPr>
        <w:t>1.11</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48.5</w:t>
      </w:r>
      <w:r>
        <w:rPr>
          <w:rFonts w:hint="eastAsia" w:ascii="仿宋" w:hAnsi="仿宋" w:eastAsia="仿宋"/>
          <w:sz w:val="32"/>
          <w:szCs w:val="32"/>
        </w:rPr>
        <w:t>万元，占</w:t>
      </w:r>
      <w:r>
        <w:rPr>
          <w:rFonts w:hint="eastAsia" w:ascii="仿宋" w:hAnsi="仿宋" w:eastAsia="仿宋"/>
          <w:sz w:val="32"/>
          <w:szCs w:val="32"/>
          <w:lang w:val="en-US" w:eastAsia="zh-CN"/>
        </w:rPr>
        <w:t>2.78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其他支出262.86万元，占15.07%。</w:t>
      </w:r>
    </w:p>
    <w:p>
      <w:pPr>
        <w:spacing w:line="600" w:lineRule="exact"/>
        <w:ind w:firstLine="640"/>
        <w:rPr>
          <w:rFonts w:ascii="仿宋" w:hAnsi="仿宋" w:eastAsia="仿宋"/>
          <w:sz w:val="32"/>
          <w:szCs w:val="32"/>
        </w:rPr>
      </w:pPr>
    </w:p>
    <w:p>
      <w:pPr>
        <w:pStyle w:val="2"/>
        <w:rPr>
          <w:rFonts w:ascii="仿宋" w:hAnsi="仿宋" w:eastAsia="仿宋"/>
          <w:sz w:val="32"/>
          <w:szCs w:val="32"/>
        </w:rPr>
      </w:pPr>
      <w:r>
        <w:rPr>
          <w:rFonts w:hint="eastAsia" w:ascii="仿宋" w:hAnsi="仿宋" w:eastAsia="仿宋"/>
          <w:color w:val="000000"/>
          <w:sz w:val="32"/>
          <w:szCs w:val="32"/>
          <w:lang w:eastAsia="zh-CN"/>
        </w:rPr>
        <w:pict>
          <v:shape id="Object 6" o:spid="_x0000_s1030" o:spt="75" type="#_x0000_t75" style="position:absolute;left:0pt;margin-left:45.3pt;margin-top:1pt;height:183.95pt;width:325.35pt;z-index:251663360;mso-width-relative:page;mso-height-relative:page;" o:ole="t" filled="f" o:preferrelative="t" stroked="f" coordsize="21600,21600">
            <v:path/>
            <v:fill on="f" focussize="0,0"/>
            <v:stroke on="f"/>
            <v:imagedata r:id="rId15" o:title=""/>
            <o:lock v:ext="edit" aspectratio="t"/>
          </v:shape>
          <o:OLEObject Type="Embed" ProgID="Excel.Chart.8" ShapeID="Object 6" DrawAspect="Content" ObjectID="_1468075729" r:id="rId14">
            <o:LockedField>false</o:LockedField>
          </o:OLEObject>
        </w:pict>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213"/>
      <w:bookmarkStart w:id="36" w:name="_Toc15378460"/>
      <w:bookmarkStart w:id="37" w:name="_Toc15377444"/>
      <w:r>
        <w:rPr>
          <w:rFonts w:ascii="仿宋" w:hAnsi="仿宋" w:eastAsia="仿宋"/>
          <w:b/>
          <w:color w:val="000000"/>
          <w:sz w:val="32"/>
          <w:szCs w:val="32"/>
        </w:rPr>
        <w:t>202</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1744.81万元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hint="eastAsia" w:ascii="仿宋" w:hAnsi="仿宋" w:eastAsia="仿宋"/>
          <w:bCs/>
          <w:color w:val="000000"/>
          <w:sz w:val="32"/>
          <w:szCs w:val="32"/>
          <w:lang w:val="en-US" w:eastAsia="zh-CN"/>
        </w:rPr>
        <w:t>97.67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2050203</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833.66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w:t>
      </w:r>
      <w:r>
        <w:rPr>
          <w:rStyle w:val="14"/>
          <w:rFonts w:hint="eastAsia" w:ascii="仿宋" w:hAnsi="仿宋" w:eastAsia="仿宋"/>
          <w:bCs/>
          <w:color w:val="000000"/>
          <w:sz w:val="32"/>
          <w:szCs w:val="32"/>
          <w:lang w:val="en-US" w:eastAsia="zh-CN"/>
        </w:rPr>
        <w:t>20703</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451.09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64.56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val="en-US" w:eastAsia="zh-CN"/>
        </w:rPr>
        <w:t>新校园射击馆电电子靶购置尾款未支付</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20805</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129.33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val="en-US" w:eastAsia="zh-CN"/>
        </w:rPr>
        <w:t>2101102</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cs="Times New Roman"/>
          <w:b/>
          <w:bCs/>
          <w:color w:val="000000"/>
          <w:sz w:val="32"/>
          <w:szCs w:val="32"/>
          <w:lang w:val="en-US" w:eastAsia="zh-CN"/>
        </w:rPr>
        <w:t>5.</w:t>
      </w:r>
      <w:r>
        <w:rPr>
          <w:rFonts w:hint="eastAsia" w:ascii="仿宋" w:hAnsi="仿宋" w:eastAsia="仿宋" w:cs="Times New Roman"/>
          <w:b/>
          <w:bCs/>
          <w:color w:val="000000"/>
          <w:sz w:val="32"/>
          <w:szCs w:val="32"/>
        </w:rPr>
        <w:t>住房保障</w:t>
      </w:r>
      <w:r>
        <w:rPr>
          <w:rFonts w:hint="eastAsia" w:ascii="仿宋" w:hAnsi="仿宋" w:eastAsia="仿宋" w:cs="Times New Roman"/>
          <w:b/>
          <w:bCs/>
          <w:color w:val="000000"/>
          <w:sz w:val="32"/>
          <w:szCs w:val="32"/>
          <w:lang w:val="en-US" w:eastAsia="zh-CN"/>
        </w:rPr>
        <w:t>2210201：</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48.5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bookmarkEnd w:id="35"/>
      <w:bookmarkEnd w:id="36"/>
      <w:bookmarkEnd w:id="37"/>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712.23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676.83</w:t>
      </w:r>
      <w:r>
        <w:rPr>
          <w:rFonts w:hint="eastAsia" w:ascii="仿宋" w:hAnsi="仿宋" w:eastAsia="仿宋"/>
          <w:sz w:val="32"/>
          <w:szCs w:val="32"/>
        </w:rPr>
        <w:t>万元，主要包括：基本工资、津贴补贴、伙食补助费、绩效工资、机关事业单位基本养老保险缴费、职业年金缴费、其他社会保障缴费、其他工资福利支出、退休费、抚恤金、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35.41</w:t>
      </w:r>
      <w:r>
        <w:rPr>
          <w:rFonts w:hint="eastAsia" w:ascii="仿宋" w:hAnsi="仿宋" w:eastAsia="仿宋"/>
          <w:sz w:val="32"/>
          <w:szCs w:val="32"/>
        </w:rPr>
        <w:t>万元，主要包括：办公费、印刷费、水费、电费、邮电费、差旅费、因公出国（境）费用、维修（护）费、公务接待费、劳务费、委托业务费、工会经费、福利费、公务用车运行维护费、其他交通费、税金及附加费用、其他商品和服务支出、办公设备购置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3.9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3.5</w:t>
      </w:r>
      <w:r>
        <w:rPr>
          <w:rFonts w:hint="eastAsia" w:ascii="仿宋" w:hAnsi="仿宋" w:eastAsia="仿宋"/>
          <w:sz w:val="32"/>
          <w:szCs w:val="32"/>
        </w:rPr>
        <w:t>万元，占</w:t>
      </w:r>
      <w:r>
        <w:rPr>
          <w:rFonts w:hint="eastAsia" w:ascii="仿宋" w:hAnsi="仿宋" w:eastAsia="仿宋"/>
          <w:sz w:val="32"/>
          <w:szCs w:val="32"/>
          <w:lang w:val="en-US" w:eastAsia="zh-CN"/>
        </w:rPr>
        <w:t>89.74</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0.4</w:t>
      </w:r>
      <w:r>
        <w:rPr>
          <w:rFonts w:hint="eastAsia" w:ascii="仿宋" w:hAnsi="仿宋" w:eastAsia="仿宋"/>
          <w:sz w:val="32"/>
          <w:szCs w:val="32"/>
        </w:rPr>
        <w:t>万元，占</w:t>
      </w:r>
      <w:r>
        <w:rPr>
          <w:rFonts w:hint="eastAsia" w:ascii="仿宋" w:hAnsi="仿宋" w:eastAsia="仿宋"/>
          <w:sz w:val="32"/>
          <w:szCs w:val="32"/>
          <w:lang w:val="en-US" w:eastAsia="zh-CN"/>
        </w:rPr>
        <w:t>10.26</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hint="eastAsia" w:ascii="仿宋_GB2312" w:eastAsia="仿宋_GB2312"/>
          <w:b/>
          <w:sz w:val="32"/>
          <w:szCs w:val="32"/>
          <w:lang w:val="en-US" w:eastAsia="zh-CN"/>
        </w:rPr>
        <w:t>1</w:t>
      </w:r>
      <w:r>
        <w:rPr>
          <w:rFonts w:ascii="仿宋_GB2312" w:eastAsia="仿宋_GB2312"/>
          <w:b/>
          <w:sz w:val="32"/>
          <w:szCs w:val="32"/>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3.5</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0.335</w:t>
      </w:r>
      <w:r>
        <w:rPr>
          <w:rFonts w:hint="eastAsia" w:ascii="仿宋_GB2312" w:eastAsia="仿宋_GB2312"/>
          <w:sz w:val="32"/>
          <w:szCs w:val="32"/>
        </w:rPr>
        <w:t>万元，下降</w:t>
      </w:r>
      <w:r>
        <w:rPr>
          <w:rFonts w:hint="eastAsia" w:ascii="仿宋_GB2312" w:eastAsia="仿宋_GB2312"/>
          <w:sz w:val="32"/>
          <w:szCs w:val="32"/>
          <w:lang w:val="en-US" w:eastAsia="zh-CN"/>
        </w:rPr>
        <w:t>8.74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公务用车出行减少</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3.5</w:t>
      </w:r>
      <w:r>
        <w:rPr>
          <w:rFonts w:hint="eastAsia" w:ascii="仿宋_GB2312" w:eastAsia="仿宋_GB2312"/>
          <w:sz w:val="32"/>
          <w:szCs w:val="32"/>
        </w:rPr>
        <w:t>万元。主要用于所需的公务用车燃料费、维修费、过路过桥费、保险费等支出。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0.4</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0.32</w:t>
      </w:r>
      <w:r>
        <w:rPr>
          <w:rFonts w:hint="eastAsia" w:ascii="仿宋_GB2312" w:eastAsia="仿宋_GB2312"/>
          <w:sz w:val="32"/>
          <w:szCs w:val="32"/>
        </w:rPr>
        <w:t>万元，增长</w:t>
      </w:r>
      <w:r>
        <w:rPr>
          <w:rFonts w:hint="eastAsia" w:ascii="仿宋_GB2312" w:eastAsia="仿宋_GB2312"/>
          <w:sz w:val="32"/>
          <w:szCs w:val="32"/>
          <w:lang w:val="en-US" w:eastAsia="zh-CN"/>
        </w:rPr>
        <w:t>419.48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2020年因为疫情几乎没有公务接待事项</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0.4</w:t>
      </w:r>
      <w:r>
        <w:rPr>
          <w:rFonts w:hint="eastAsia" w:ascii="仿宋_GB2312" w:eastAsia="仿宋_GB2312"/>
          <w:sz w:val="32"/>
          <w:szCs w:val="32"/>
        </w:rPr>
        <w:t>万元，主要用于</w:t>
      </w:r>
      <w:r>
        <w:rPr>
          <w:rFonts w:hint="eastAsia" w:ascii="仿宋_GB2312" w:eastAsia="仿宋_GB2312"/>
          <w:sz w:val="32"/>
          <w:szCs w:val="32"/>
          <w:lang w:val="en-US" w:eastAsia="zh-CN"/>
        </w:rPr>
        <w:t>校际交流接待用餐费支出</w:t>
      </w:r>
      <w:r>
        <w:rPr>
          <w:rFonts w:hint="eastAsia" w:ascii="仿宋_GB2312" w:eastAsia="仿宋_GB2312"/>
          <w:sz w:val="32"/>
          <w:szCs w:val="32"/>
        </w:rPr>
        <w:t>。国内公务接待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80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0.4</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4" w:name="_Toc15377218"/>
      <w:bookmarkStart w:id="45"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262.86</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5"/>
          <w:rFonts w:ascii="黑体" w:hAnsi="黑体" w:eastAsia="黑体"/>
          <w:b w:val="0"/>
        </w:rPr>
      </w:pPr>
      <w:bookmarkStart w:id="46" w:name="_Toc15396611"/>
      <w:bookmarkStart w:id="47" w:name="_Toc15377219"/>
      <w:r>
        <w:rPr>
          <w:rStyle w:val="25"/>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5"/>
          <w:rFonts w:ascii="黑体" w:hAnsi="黑体" w:eastAsia="黑体"/>
          <w:b w:val="0"/>
        </w:rPr>
      </w:pPr>
      <w:bookmarkStart w:id="48" w:name="_Toc15377221"/>
      <w:bookmarkStart w:id="49" w:name="_Toc15396612"/>
      <w:r>
        <w:rPr>
          <w:rStyle w:val="25"/>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奥校</w:t>
      </w:r>
      <w:r>
        <w:rPr>
          <w:rFonts w:hint="eastAsia" w:ascii="仿宋_GB2312" w:eastAsia="仿宋_GB2312"/>
          <w:sz w:val="32"/>
          <w:szCs w:val="32"/>
        </w:rPr>
        <w:t>运行经费支出</w:t>
      </w:r>
      <w:r>
        <w:rPr>
          <w:rFonts w:hint="eastAsia" w:ascii="仿宋_GB2312" w:eastAsia="仿宋_GB2312"/>
          <w:sz w:val="32"/>
          <w:szCs w:val="32"/>
          <w:lang w:val="en-US" w:eastAsia="zh-CN"/>
        </w:rPr>
        <w:t>3.9</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0.06</w:t>
      </w:r>
      <w:r>
        <w:rPr>
          <w:rFonts w:hint="eastAsia" w:ascii="仿宋_GB2312" w:eastAsia="仿宋_GB2312"/>
          <w:sz w:val="32"/>
          <w:szCs w:val="32"/>
        </w:rPr>
        <w:t>万元，增长</w:t>
      </w:r>
      <w:r>
        <w:rPr>
          <w:rFonts w:hint="eastAsia" w:ascii="仿宋_GB2312" w:eastAsia="仿宋_GB2312"/>
          <w:sz w:val="32"/>
          <w:szCs w:val="32"/>
          <w:lang w:val="en-US" w:eastAsia="zh-CN"/>
        </w:rPr>
        <w:t>1.56</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21年，政府采购支出总额</w:t>
      </w:r>
      <w:r>
        <w:rPr>
          <w:rFonts w:hint="eastAsia" w:ascii="仿宋_GB2312" w:eastAsia="仿宋_GB2312"/>
          <w:sz w:val="32"/>
          <w:szCs w:val="32"/>
          <w:lang w:val="en-US" w:eastAsia="zh-CN"/>
        </w:rPr>
        <w:t>66.6</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66.6</w:t>
      </w:r>
      <w:r>
        <w:rPr>
          <w:rFonts w:hint="eastAsia" w:ascii="仿宋_GB2312" w:eastAsia="仿宋_GB2312"/>
          <w:sz w:val="32"/>
          <w:szCs w:val="32"/>
        </w:rPr>
        <w:t>万元。主要用于</w:t>
      </w:r>
      <w:r>
        <w:rPr>
          <w:rFonts w:hint="eastAsia" w:ascii="仿宋_GB2312" w:eastAsia="仿宋_GB2312"/>
          <w:sz w:val="32"/>
          <w:szCs w:val="32"/>
          <w:lang w:val="en-US" w:eastAsia="zh-CN"/>
        </w:rPr>
        <w:t>教学家具采购及教学电脑购置</w:t>
      </w:r>
      <w:r>
        <w:rPr>
          <w:rFonts w:hint="eastAsia" w:ascii="仿宋_GB2312" w:eastAsia="仿宋_GB2312"/>
          <w:sz w:val="32"/>
          <w:szCs w:val="32"/>
        </w:rPr>
        <w:t>。授予中小企业合同金额</w:t>
      </w:r>
      <w:r>
        <w:rPr>
          <w:rFonts w:hint="eastAsia" w:ascii="仿宋_GB2312" w:eastAsia="仿宋_GB2312"/>
          <w:sz w:val="32"/>
          <w:szCs w:val="32"/>
          <w:lang w:val="en-US" w:eastAsia="zh-CN"/>
        </w:rPr>
        <w:t>66.6</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66.6</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w:t>
      </w:r>
      <w:r>
        <w:rPr>
          <w:rFonts w:hint="eastAsia" w:ascii="仿宋_GB2312" w:eastAsia="仿宋_GB2312"/>
          <w:sz w:val="32"/>
          <w:szCs w:val="32"/>
          <w:lang w:val="en-US" w:eastAsia="zh-CN"/>
        </w:rPr>
        <w:t>1</w:t>
      </w:r>
      <w:r>
        <w:rPr>
          <w:rFonts w:hint="eastAsia" w:ascii="仿宋_GB2312" w:eastAsia="仿宋_GB2312"/>
          <w:sz w:val="32"/>
          <w:szCs w:val="32"/>
        </w:rPr>
        <w:t>辆，其中：</w:t>
      </w:r>
      <w:r>
        <w:rPr>
          <w:rFonts w:hint="eastAsia" w:ascii="仿宋_GB2312" w:eastAsia="仿宋_GB2312"/>
          <w:sz w:val="32"/>
          <w:szCs w:val="32"/>
          <w:lang w:val="en-US" w:eastAsia="zh-CN"/>
        </w:rPr>
        <w:t>特种专业技术用车一辆</w:t>
      </w:r>
      <w:r>
        <w:rPr>
          <w:rFonts w:hint="eastAsia" w:ascii="仿宋_GB2312" w:eastAsia="仿宋_GB2312"/>
          <w:sz w:val="32"/>
          <w:szCs w:val="32"/>
        </w:rPr>
        <w:t>。</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w:t>
      </w:r>
      <w:r>
        <w:rPr>
          <w:rFonts w:hint="eastAsia" w:ascii="仿宋_GB2312" w:eastAsia="仿宋_GB2312"/>
          <w:sz w:val="32"/>
          <w:szCs w:val="32"/>
          <w:lang w:eastAsia="zh-CN"/>
        </w:rPr>
        <w:t>单位</w:t>
      </w:r>
      <w:r>
        <w:rPr>
          <w:rFonts w:hint="eastAsia" w:ascii="仿宋_GB2312" w:eastAsia="仿宋_GB2312"/>
          <w:sz w:val="32"/>
          <w:szCs w:val="32"/>
        </w:rPr>
        <w:t>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教育</w:t>
      </w:r>
      <w:r>
        <w:rPr>
          <w:rFonts w:hint="eastAsia" w:ascii="仿宋_GB2312" w:eastAsia="仿宋_GB2312"/>
          <w:color w:val="000000"/>
          <w:sz w:val="32"/>
          <w:szCs w:val="32"/>
          <w:lang w:val="en-US" w:eastAsia="zh-CN"/>
        </w:rPr>
        <w:t>2050203</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初中教育支出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文化体育与传媒</w:t>
      </w:r>
      <w:r>
        <w:rPr>
          <w:rFonts w:hint="eastAsia" w:ascii="仿宋_GB2312" w:eastAsia="仿宋_GB2312"/>
          <w:color w:val="000000"/>
          <w:sz w:val="32"/>
          <w:szCs w:val="32"/>
          <w:lang w:val="en-US" w:eastAsia="zh-CN"/>
        </w:rPr>
        <w:t>20703</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体育训练类相关支出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20805</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社会保险缴费支出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2101102</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医保缴费支出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住房公积金缴费支出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4"/>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24"/>
          <w:rFonts w:hint="eastAsia" w:ascii="黑体" w:hAnsi="黑体" w:eastAsia="黑体"/>
          <w:b w:val="0"/>
        </w:rPr>
        <w:t>四部分 附件</w:t>
      </w:r>
      <w:bookmarkEnd w:id="56"/>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乐山市奥林匹克学校</w:t>
      </w:r>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一</w:t>
      </w:r>
      <w:r>
        <w:rPr>
          <w:rFonts w:hint="eastAsia" w:ascii="仿宋_GB2312" w:hAnsi="宋体" w:eastAsia="仿宋_GB2312" w:cs="宋体"/>
          <w:color w:val="000000"/>
          <w:kern w:val="0"/>
          <w:sz w:val="32"/>
          <w:szCs w:val="32"/>
          <w:shd w:val="clear" w:color="auto" w:fill="FFFFFF"/>
          <w:lang w:val="zh-CN"/>
        </w:rPr>
        <w:t>）机构职能。</w:t>
      </w:r>
    </w:p>
    <w:p>
      <w:pPr>
        <w:snapToGrid w:val="0"/>
        <w:spacing w:line="520" w:lineRule="exact"/>
        <w:ind w:firstLine="640" w:firstLineChars="20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cs="Times New Roman"/>
          <w:sz w:val="32"/>
          <w:szCs w:val="32"/>
          <w:lang w:val="en-US" w:eastAsia="zh-CN"/>
        </w:rPr>
        <w:t>乐山市奥林匹克学校</w:t>
      </w:r>
      <w:r>
        <w:rPr>
          <w:rFonts w:hint="eastAsia" w:ascii="仿宋_GB2312" w:hAnsi="仿宋" w:eastAsia="仿宋_GB2312"/>
          <w:sz w:val="32"/>
          <w:szCs w:val="32"/>
        </w:rPr>
        <w:t>主要职能</w:t>
      </w:r>
      <w:r>
        <w:rPr>
          <w:rFonts w:hint="eastAsia" w:ascii="仿宋_GB2312" w:hAnsi="仿宋" w:eastAsia="仿宋_GB2312" w:cs="Times New Roman"/>
          <w:sz w:val="32"/>
          <w:szCs w:val="32"/>
          <w:lang w:val="en-US" w:eastAsia="zh-CN"/>
        </w:rPr>
        <w:t>是全面贯彻党的体育教育方针，培养和输送高水平体育后备人才和社会体育人才，承担乐山市组队参加省运会和全国单项比赛任务</w:t>
      </w:r>
      <w:r>
        <w:rPr>
          <w:rFonts w:hint="eastAsia" w:ascii="仿宋_GB2312" w:hAnsi="仿宋" w:eastAsia="仿宋_GB2312"/>
          <w:sz w:val="32"/>
          <w:szCs w:val="32"/>
        </w:rPr>
        <w:t>。</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napToGrid w:val="0"/>
        <w:spacing w:line="520" w:lineRule="exact"/>
        <w:ind w:firstLine="640"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仿宋" w:eastAsia="仿宋_GB2312"/>
          <w:sz w:val="32"/>
          <w:szCs w:val="32"/>
          <w:lang w:val="zh-CN" w:eastAsia="zh-CN"/>
        </w:rPr>
        <w:t>学校总编制48个，其中：行政编制 4个，工勤编制3个，事业编制（含参公管理事业编制）41个。在职人员总数41人，其中：行政</w:t>
      </w:r>
      <w:r>
        <w:rPr>
          <w:rFonts w:hint="eastAsia" w:ascii="仿宋_GB2312" w:hAnsi="仿宋" w:eastAsia="仿宋_GB2312"/>
          <w:sz w:val="32"/>
          <w:szCs w:val="32"/>
          <w:lang w:val="en-US" w:eastAsia="zh-CN"/>
        </w:rPr>
        <w:t>2</w:t>
      </w:r>
      <w:r>
        <w:rPr>
          <w:rFonts w:hint="eastAsia" w:ascii="仿宋_GB2312" w:hAnsi="仿宋" w:eastAsia="仿宋_GB2312"/>
          <w:sz w:val="32"/>
          <w:szCs w:val="32"/>
          <w:lang w:val="zh-CN" w:eastAsia="zh-CN"/>
        </w:rPr>
        <w:t>人，工勤2人，事业（含参公管理事业人员）3</w:t>
      </w:r>
      <w:r>
        <w:rPr>
          <w:rFonts w:hint="eastAsia" w:ascii="仿宋_GB2312" w:hAnsi="仿宋" w:eastAsia="仿宋_GB2312"/>
          <w:sz w:val="32"/>
          <w:szCs w:val="32"/>
          <w:lang w:val="en-US" w:eastAsia="zh-CN"/>
        </w:rPr>
        <w:t>7</w:t>
      </w:r>
      <w:r>
        <w:rPr>
          <w:rFonts w:hint="eastAsia" w:ascii="仿宋_GB2312" w:hAnsi="仿宋" w:eastAsia="仿宋_GB2312"/>
          <w:sz w:val="32"/>
          <w:szCs w:val="32"/>
          <w:lang w:val="zh-CN" w:eastAsia="zh-CN"/>
        </w:rPr>
        <w:t>人。</w:t>
      </w:r>
      <w:r>
        <w:rPr>
          <w:rFonts w:hint="eastAsia" w:ascii="仿宋_GB2312" w:hAnsi="仿宋" w:eastAsia="仿宋_GB2312"/>
          <w:sz w:val="32"/>
          <w:szCs w:val="32"/>
          <w:lang w:val="en-US" w:eastAsia="zh-CN"/>
        </w:rPr>
        <w:t>退休职工30人，</w:t>
      </w:r>
      <w:r>
        <w:rPr>
          <w:rFonts w:hint="eastAsia" w:ascii="仿宋_GB2312" w:hAnsi="仿宋" w:eastAsia="仿宋_GB2312"/>
          <w:sz w:val="32"/>
          <w:szCs w:val="32"/>
          <w:lang w:val="zh-CN" w:eastAsia="zh-CN"/>
        </w:rPr>
        <w:t>离休0人</w:t>
      </w:r>
      <w:r>
        <w:rPr>
          <w:rFonts w:hint="eastAsia" w:ascii="仿宋_GB2312" w:hAnsi="仿宋" w:eastAsia="仿宋_GB2312"/>
          <w:sz w:val="32"/>
          <w:szCs w:val="32"/>
          <w:lang w:val="en-US" w:eastAsia="zh-CN"/>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（一）单位财政资金收入情况。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1720.35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1457.49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84.72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262.86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15.28</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二</w:t>
      </w:r>
      <w:r>
        <w:rPr>
          <w:rFonts w:hint="eastAsia" w:ascii="仿宋_GB2312" w:hAnsi="宋体" w:eastAsia="仿宋_GB2312" w:cs="宋体"/>
          <w:color w:val="000000"/>
          <w:kern w:val="0"/>
          <w:sz w:val="32"/>
          <w:szCs w:val="32"/>
          <w:shd w:val="clear" w:color="auto" w:fill="FFFFFF"/>
          <w:lang w:val="zh-CN"/>
        </w:rPr>
        <w:t>）单位财政资金支出情况。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1744.81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712.23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40.82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1032.57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59.18</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单位</w:t>
      </w:r>
      <w:r>
        <w:rPr>
          <w:rFonts w:hint="eastAsia" w:ascii="仿宋_GB2312" w:hAnsi="仿宋" w:eastAsia="仿宋_GB2312"/>
          <w:sz w:val="32"/>
          <w:szCs w:val="32"/>
          <w:lang w:val="en-US" w:eastAsia="zh-CN"/>
        </w:rPr>
        <w:t>完成了省十四运会各运动队组队及备战训练任务；代表乐山队参加了省十运会各项目资格赛暨省青少年锦标赛参赛取得优异成绩；完成了2021年基础教育教学工作；学校整体搬迁至乐山职业技术学院新校区完成了新校园建设工作</w:t>
      </w:r>
      <w:r>
        <w:rPr>
          <w:rFonts w:hint="eastAsia" w:ascii="仿宋_GB2312" w:hAnsi="仿宋" w:eastAsia="仿宋_GB2312"/>
          <w:sz w:val="32"/>
          <w:szCs w:val="32"/>
        </w:rPr>
        <w:t>。</w:t>
      </w:r>
      <w:r>
        <w:rPr>
          <w:rFonts w:hint="eastAsia" w:ascii="仿宋_GB2312" w:hAnsi="宋体" w:eastAsia="仿宋_GB2312" w:cs="宋体"/>
          <w:color w:val="000000"/>
          <w:kern w:val="0"/>
          <w:sz w:val="32"/>
          <w:szCs w:val="32"/>
          <w:shd w:val="clear" w:color="auto" w:fill="FFFFFF"/>
          <w:lang w:val="zh-CN"/>
        </w:rPr>
        <w:t>预算编制准确，支出控制</w:t>
      </w:r>
      <w:r>
        <w:rPr>
          <w:rFonts w:hint="eastAsia" w:ascii="仿宋_GB2312" w:hAnsi="宋体" w:eastAsia="仿宋_GB2312" w:cs="宋体"/>
          <w:color w:val="000000"/>
          <w:kern w:val="0"/>
          <w:sz w:val="32"/>
          <w:szCs w:val="32"/>
          <w:shd w:val="clear" w:color="auto" w:fill="FFFFFF"/>
          <w:lang w:val="en-US" w:eastAsia="zh-CN"/>
        </w:rPr>
        <w:t>较好无预算</w:t>
      </w:r>
      <w:r>
        <w:rPr>
          <w:rFonts w:hint="eastAsia" w:ascii="仿宋_GB2312" w:hAnsi="宋体" w:eastAsia="仿宋_GB2312" w:cs="宋体"/>
          <w:color w:val="000000"/>
          <w:kern w:val="0"/>
          <w:sz w:val="32"/>
          <w:szCs w:val="32"/>
          <w:shd w:val="clear" w:color="auto" w:fill="FFFFFF"/>
          <w:lang w:val="zh-CN"/>
        </w:rPr>
        <w:t>违规记录等情况。</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单位</w:t>
      </w:r>
      <w:r>
        <w:rPr>
          <w:rFonts w:hint="eastAsia" w:ascii="仿宋_GB2312" w:hAnsi="宋体" w:eastAsia="仿宋_GB2312" w:cs="宋体"/>
          <w:color w:val="000000"/>
          <w:kern w:val="0"/>
          <w:sz w:val="32"/>
          <w:szCs w:val="32"/>
          <w:shd w:val="clear" w:color="auto" w:fill="FFFFFF"/>
          <w:lang w:val="zh-CN"/>
        </w:rPr>
        <w:t>总体绩效目标明确、决策依据充分、资金分配科学合理，资金管理规范，任务完成良好，达到了预期效果。</w:t>
      </w:r>
    </w:p>
    <w:p>
      <w:pPr>
        <w:widowControl/>
        <w:numPr>
          <w:ilvl w:val="0"/>
          <w:numId w:val="0"/>
        </w:numPr>
        <w:adjustRightInd w:val="0"/>
        <w:snapToGrid w:val="0"/>
        <w:spacing w:line="580" w:lineRule="exact"/>
        <w:ind w:leftChars="200" w:firstLine="320" w:firstLineChars="1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二</w:t>
      </w:r>
      <w:r>
        <w:rPr>
          <w:rFonts w:hint="eastAsia" w:ascii="仿宋_GB2312" w:hAnsi="宋体" w:eastAsia="仿宋_GB2312" w:cs="宋体"/>
          <w:color w:val="000000"/>
          <w:kern w:val="0"/>
          <w:sz w:val="32"/>
          <w:szCs w:val="32"/>
          <w:shd w:val="clear" w:color="auto" w:fill="FFFFFF"/>
          <w:lang w:val="zh-CN"/>
        </w:rPr>
        <w:t>）存在问题。</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各业务单位参与预算编制意识不强。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积极向各单位宣传及要求加强预算管理，参与单位预算编制工作。</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widowControl/>
        <w:jc w:val="left"/>
        <w:rPr>
          <w:rStyle w:val="24"/>
          <w:rFonts w:ascii="黑体" w:hAnsi="黑体" w:eastAsia="黑体"/>
          <w:b w:val="0"/>
        </w:rPr>
      </w:pPr>
    </w:p>
    <w:p>
      <w:pPr>
        <w:spacing w:line="600" w:lineRule="exact"/>
        <w:jc w:val="center"/>
        <w:outlineLvl w:val="0"/>
        <w:rPr>
          <w:rFonts w:ascii="仿宋" w:hAnsi="仿宋" w:eastAsia="仿宋"/>
        </w:rPr>
      </w:pPr>
      <w:bookmarkStart w:id="57" w:name="_Toc15396618"/>
      <w:r>
        <w:rPr>
          <w:rFonts w:hint="eastAsia" w:ascii="黑体" w:hAnsi="黑体" w:eastAsia="黑体"/>
          <w:sz w:val="44"/>
          <w:szCs w:val="44"/>
        </w:rPr>
        <w:t>第</w:t>
      </w:r>
      <w:r>
        <w:rPr>
          <w:rStyle w:val="24"/>
          <w:rFonts w:hint="eastAsia" w:ascii="黑体" w:hAnsi="黑体" w:eastAsia="黑体"/>
          <w:b w:val="0"/>
        </w:rPr>
        <w:t>五部分 附表</w:t>
      </w:r>
      <w:bookmarkEnd w:id="55"/>
      <w:bookmarkEnd w:id="57"/>
      <w:bookmarkStart w:id="58"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25"/>
          <w:rFonts w:hint="eastAsia" w:ascii="仿宋" w:hAnsi="仿宋" w:eastAsia="仿宋"/>
          <w:b w:val="0"/>
          <w:bCs w:val="0"/>
        </w:rPr>
        <w:t>入决算表</w:t>
      </w:r>
      <w:bookmarkEnd w:id="59"/>
    </w:p>
    <w:p>
      <w:pPr>
        <w:pStyle w:val="4"/>
        <w:rPr>
          <w:rFonts w:ascii="仿宋" w:hAnsi="仿宋" w:eastAsia="仿宋"/>
        </w:rPr>
      </w:pPr>
      <w:bookmarkStart w:id="60"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1"/>
    </w:p>
    <w:p>
      <w:pPr>
        <w:pStyle w:val="4"/>
        <w:rPr>
          <w:rStyle w:val="25"/>
          <w:rFonts w:ascii="仿宋" w:hAnsi="仿宋" w:eastAsia="仿宋"/>
          <w:b w:val="0"/>
          <w:bCs w:val="0"/>
        </w:rPr>
      </w:pPr>
      <w:bookmarkStart w:id="62"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7"/>
    </w:p>
    <w:p>
      <w:pPr>
        <w:pStyle w:val="4"/>
        <w:rPr>
          <w:rFonts w:ascii="仿宋" w:hAnsi="仿宋" w:eastAsia="仿宋"/>
        </w:rPr>
      </w:pPr>
      <w:bookmarkStart w:id="68"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8"/>
    </w:p>
    <w:p>
      <w:pPr>
        <w:pStyle w:val="4"/>
        <w:rPr>
          <w:rFonts w:ascii="仿宋" w:hAnsi="仿宋" w:eastAsia="仿宋"/>
        </w:rPr>
      </w:pPr>
      <w:bookmarkStart w:id="69"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9"/>
    </w:p>
    <w:p>
      <w:pPr>
        <w:pStyle w:val="4"/>
        <w:rPr>
          <w:rStyle w:val="25"/>
          <w:rFonts w:ascii="仿宋" w:hAnsi="仿宋" w:eastAsia="仿宋"/>
          <w:b w:val="0"/>
          <w:bCs w:val="0"/>
        </w:rPr>
      </w:pPr>
      <w:bookmarkStart w:id="70"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70"/>
    </w:p>
    <w:p>
      <w:r>
        <w:rPr>
          <w:rStyle w:val="25"/>
          <w:rFonts w:hint="eastAsia" w:ascii="仿宋" w:hAnsi="仿宋" w:eastAsia="仿宋"/>
          <w:b w:val="0"/>
          <w:bCs w:val="0"/>
        </w:rPr>
        <w:t>十四、国有资本经营预算财政拨款支出决</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DEA08C-0F6C-45EF-B9BA-0482B5E01C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68B41C34-7294-4462-9C1D-9EB56AF122FA}"/>
  </w:font>
  <w:font w:name="仿宋_GB2312">
    <w:altName w:val="仿宋"/>
    <w:panose1 w:val="02010609030101010101"/>
    <w:charset w:val="86"/>
    <w:family w:val="modern"/>
    <w:pitch w:val="default"/>
    <w:sig w:usb0="00000000" w:usb1="00000000" w:usb2="00000000" w:usb3="00000000" w:csb0="00040000" w:csb1="00000000"/>
    <w:embedRegular r:id="rId3" w:fontKey="{4E59453C-116A-4FAE-920A-C40B5521B1F2}"/>
  </w:font>
  <w:font w:name="仿宋">
    <w:panose1 w:val="02010609060101010101"/>
    <w:charset w:val="86"/>
    <w:family w:val="auto"/>
    <w:pitch w:val="default"/>
    <w:sig w:usb0="800002BF" w:usb1="38CF7CFA" w:usb2="00000016" w:usb3="00000000" w:csb0="00040001" w:csb1="00000000"/>
    <w:embedRegular r:id="rId4" w:fontKey="{9BEAD813-A7BD-483B-960B-48D280E08C1B}"/>
  </w:font>
  <w:font w:name="方正小标宋简体">
    <w:panose1 w:val="02000000000000000000"/>
    <w:charset w:val="86"/>
    <w:family w:val="auto"/>
    <w:pitch w:val="default"/>
    <w:sig w:usb0="00000001" w:usb1="08000000" w:usb2="00000000" w:usb3="00000000" w:csb0="00040000" w:csb1="00000000"/>
    <w:embedRegular r:id="rId5" w:fontKey="{D348C0D3-48F7-43EA-89A5-C2684A5A65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CB3C5"/>
    <w:multiLevelType w:val="singleLevel"/>
    <w:tmpl w:val="99ACB3C5"/>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M2YzMzU4MGFmNThkMDlhMThiMDUyZjIyOWM2YzkifQ=="/>
  </w:docVars>
  <w:rsids>
    <w:rsidRoot w:val="00F1361C"/>
    <w:rsid w:val="000222C6"/>
    <w:rsid w:val="0002549F"/>
    <w:rsid w:val="000468DB"/>
    <w:rsid w:val="0006487A"/>
    <w:rsid w:val="00065F8F"/>
    <w:rsid w:val="00070A43"/>
    <w:rsid w:val="000768F2"/>
    <w:rsid w:val="0009184B"/>
    <w:rsid w:val="00094236"/>
    <w:rsid w:val="0009593C"/>
    <w:rsid w:val="0009601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416E"/>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598A"/>
    <w:rsid w:val="009F1185"/>
    <w:rsid w:val="009F18CD"/>
    <w:rsid w:val="009F2A13"/>
    <w:rsid w:val="009F7527"/>
    <w:rsid w:val="00A04EB0"/>
    <w:rsid w:val="00A13CC1"/>
    <w:rsid w:val="00A16847"/>
    <w:rsid w:val="00A237D8"/>
    <w:rsid w:val="00A268C4"/>
    <w:rsid w:val="00A307CD"/>
    <w:rsid w:val="00A31299"/>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0646"/>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0B46"/>
    <w:rsid w:val="00E331A1"/>
    <w:rsid w:val="00E33202"/>
    <w:rsid w:val="00E336A9"/>
    <w:rsid w:val="00E472B1"/>
    <w:rsid w:val="00E50624"/>
    <w:rsid w:val="00E568DF"/>
    <w:rsid w:val="00E64269"/>
    <w:rsid w:val="00E82267"/>
    <w:rsid w:val="00E853CE"/>
    <w:rsid w:val="00E867B6"/>
    <w:rsid w:val="00EA010F"/>
    <w:rsid w:val="00ED1014"/>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66DA8"/>
    <w:rsid w:val="02D164D3"/>
    <w:rsid w:val="04E5017D"/>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2FB409F4"/>
    <w:rsid w:val="319F7F4E"/>
    <w:rsid w:val="355205AA"/>
    <w:rsid w:val="36AA5135"/>
    <w:rsid w:val="37E16F03"/>
    <w:rsid w:val="3B6E00F6"/>
    <w:rsid w:val="3D98207C"/>
    <w:rsid w:val="3F446ADE"/>
    <w:rsid w:val="44E268DA"/>
    <w:rsid w:val="4A627F82"/>
    <w:rsid w:val="4B4F25DA"/>
    <w:rsid w:val="4BE068DB"/>
    <w:rsid w:val="4D577224"/>
    <w:rsid w:val="4EAB630A"/>
    <w:rsid w:val="4ECE2238"/>
    <w:rsid w:val="56C5790A"/>
    <w:rsid w:val="5AF92295"/>
    <w:rsid w:val="5C6F64CA"/>
    <w:rsid w:val="5CD71FC4"/>
    <w:rsid w:val="687A681D"/>
    <w:rsid w:val="6C4A05C8"/>
    <w:rsid w:val="6E7E3605"/>
    <w:rsid w:val="6EE64C0C"/>
    <w:rsid w:val="6FF5CC65"/>
    <w:rsid w:val="715C0E4B"/>
    <w:rsid w:val="72734D90"/>
    <w:rsid w:val="73AD73D5"/>
    <w:rsid w:val="73B6EB34"/>
    <w:rsid w:val="76D65AA8"/>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4694</Words>
  <Characters>5288</Characters>
  <Lines>57</Lines>
  <Paragraphs>16</Paragraphs>
  <TotalTime>60</TotalTime>
  <ScaleCrop>false</ScaleCrop>
  <LinksUpToDate>false</LinksUpToDate>
  <CharactersWithSpaces>5313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章章</cp:lastModifiedBy>
  <cp:lastPrinted>2022-08-08T09:11:00Z</cp:lastPrinted>
  <dcterms:modified xsi:type="dcterms:W3CDTF">2023-09-14T01:33:11Z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780EFC564C494EFE8EE81323E3014666</vt:lpwstr>
  </property>
</Properties>
</file>